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Ind w:w="5" w:type="dxa"/>
        <w:tblLayout w:type="fixed"/>
        <w:tblLook w:val="04A0" w:firstRow="1" w:lastRow="0" w:firstColumn="1" w:lastColumn="0" w:noHBand="0" w:noVBand="1"/>
      </w:tblPr>
      <w:tblGrid>
        <w:gridCol w:w="567"/>
        <w:gridCol w:w="2835"/>
        <w:gridCol w:w="6237"/>
      </w:tblGrid>
      <w:tr w:rsidR="00EB028C" w:rsidTr="006B7E54">
        <w:trPr>
          <w:trHeight w:val="253"/>
        </w:trPr>
        <w:tc>
          <w:tcPr>
            <w:tcW w:w="567" w:type="dxa"/>
            <w:tcBorders>
              <w:top w:val="nil"/>
              <w:left w:val="nil"/>
              <w:bottom w:val="nil"/>
              <w:right w:val="nil"/>
            </w:tcBorders>
          </w:tcPr>
          <w:p w:rsidR="00EB028C" w:rsidRDefault="00EB028C" w:rsidP="006B7E54">
            <w:pPr>
              <w:spacing w:line="0" w:lineRule="atLeast"/>
              <w:rPr>
                <w:rFonts w:ascii="Times New Roman" w:eastAsia="Times New Roman" w:hAnsi="Times New Roman"/>
                <w:sz w:val="21"/>
              </w:rPr>
            </w:pPr>
          </w:p>
        </w:tc>
        <w:tc>
          <w:tcPr>
            <w:tcW w:w="2835" w:type="dxa"/>
            <w:tcBorders>
              <w:top w:val="nil"/>
              <w:left w:val="nil"/>
              <w:bottom w:val="nil"/>
              <w:right w:val="nil"/>
            </w:tcBorders>
          </w:tcPr>
          <w:p w:rsidR="00EB028C" w:rsidRDefault="00EB028C" w:rsidP="006B7E54">
            <w:pPr>
              <w:spacing w:line="0" w:lineRule="atLeast"/>
              <w:rPr>
                <w:rFonts w:ascii="Times New Roman" w:eastAsia="Times New Roman" w:hAnsi="Times New Roman"/>
                <w:sz w:val="21"/>
              </w:rPr>
            </w:pPr>
          </w:p>
        </w:tc>
        <w:tc>
          <w:tcPr>
            <w:tcW w:w="6237" w:type="dxa"/>
            <w:tcBorders>
              <w:top w:val="nil"/>
              <w:left w:val="nil"/>
              <w:bottom w:val="nil"/>
              <w:right w:val="nil"/>
            </w:tcBorders>
          </w:tcPr>
          <w:p w:rsidR="00EB028C" w:rsidRPr="00214691" w:rsidRDefault="00EB028C" w:rsidP="00185C0D">
            <w:pPr>
              <w:pStyle w:val="Titolo1"/>
              <w:outlineLvl w:val="0"/>
              <w:rPr>
                <w:rFonts w:eastAsia="Arial"/>
              </w:rPr>
            </w:pPr>
            <w:r w:rsidRPr="005B0ADA">
              <w:rPr>
                <w:rFonts w:eastAsia="Arial"/>
                <w:sz w:val="24"/>
                <w:szCs w:val="24"/>
              </w:rPr>
              <w:t xml:space="preserve">Scheda </w:t>
            </w:r>
            <w:r>
              <w:rPr>
                <w:rFonts w:eastAsia="Arial"/>
                <w:sz w:val="24"/>
                <w:szCs w:val="24"/>
              </w:rPr>
              <w:t>bando</w:t>
            </w:r>
            <w:r w:rsidRPr="00214691">
              <w:rPr>
                <w:rFonts w:eastAsia="Arial"/>
              </w:rPr>
              <w:t xml:space="preserve"> </w:t>
            </w:r>
            <w:r w:rsidR="007345FD" w:rsidRPr="007345FD">
              <w:rPr>
                <w:rFonts w:eastAsia="Arial"/>
                <w:sz w:val="24"/>
                <w:szCs w:val="24"/>
              </w:rPr>
              <w:t>SL</w:t>
            </w:r>
            <w:r w:rsidR="00BE32A2">
              <w:rPr>
                <w:rFonts w:eastAsia="Arial"/>
                <w:sz w:val="24"/>
                <w:szCs w:val="24"/>
              </w:rPr>
              <w:t>.</w:t>
            </w:r>
            <w:r w:rsidR="00185C0D">
              <w:rPr>
                <w:rFonts w:eastAsia="Arial"/>
                <w:sz w:val="24"/>
                <w:szCs w:val="24"/>
              </w:rPr>
              <w:t>3</w:t>
            </w:r>
            <w:r w:rsidR="007345FD" w:rsidRPr="007345FD">
              <w:rPr>
                <w:rFonts w:eastAsia="Arial"/>
                <w:sz w:val="24"/>
                <w:szCs w:val="24"/>
              </w:rPr>
              <w:t>.1</w:t>
            </w:r>
          </w:p>
        </w:tc>
      </w:tr>
      <w:tr w:rsidR="00EB028C" w:rsidTr="006B7E54">
        <w:trPr>
          <w:trHeight w:val="357"/>
        </w:trPr>
        <w:tc>
          <w:tcPr>
            <w:tcW w:w="567" w:type="dxa"/>
            <w:tcBorders>
              <w:top w:val="nil"/>
              <w:left w:val="nil"/>
              <w:bottom w:val="single" w:sz="4" w:space="0" w:color="auto"/>
              <w:right w:val="nil"/>
            </w:tcBorders>
          </w:tcPr>
          <w:p w:rsidR="00EB028C" w:rsidRDefault="00EB028C" w:rsidP="006B7E54">
            <w:pPr>
              <w:spacing w:line="0" w:lineRule="atLeast"/>
              <w:rPr>
                <w:rFonts w:ascii="Times New Roman" w:eastAsia="Times New Roman" w:hAnsi="Times New Roman"/>
                <w:sz w:val="24"/>
              </w:rPr>
            </w:pPr>
          </w:p>
        </w:tc>
        <w:tc>
          <w:tcPr>
            <w:tcW w:w="2835" w:type="dxa"/>
            <w:tcBorders>
              <w:top w:val="nil"/>
              <w:left w:val="nil"/>
              <w:bottom w:val="single" w:sz="4" w:space="0" w:color="auto"/>
              <w:right w:val="nil"/>
            </w:tcBorders>
          </w:tcPr>
          <w:p w:rsidR="00EB028C" w:rsidRDefault="00EB028C" w:rsidP="006B7E54">
            <w:pPr>
              <w:spacing w:line="0" w:lineRule="atLeast"/>
              <w:rPr>
                <w:rFonts w:ascii="Times New Roman" w:eastAsia="Times New Roman" w:hAnsi="Times New Roman"/>
                <w:sz w:val="24"/>
              </w:rPr>
            </w:pPr>
          </w:p>
        </w:tc>
        <w:tc>
          <w:tcPr>
            <w:tcW w:w="6237" w:type="dxa"/>
            <w:tcBorders>
              <w:top w:val="nil"/>
              <w:left w:val="nil"/>
              <w:bottom w:val="single" w:sz="4" w:space="0" w:color="auto"/>
              <w:right w:val="nil"/>
            </w:tcBorders>
          </w:tcPr>
          <w:p w:rsidR="00EB028C" w:rsidRDefault="00EB028C" w:rsidP="006B7E54">
            <w:pPr>
              <w:spacing w:line="0" w:lineRule="atLeast"/>
              <w:rPr>
                <w:rFonts w:ascii="Times New Roman" w:eastAsia="Times New Roman" w:hAnsi="Times New Roman"/>
                <w:sz w:val="24"/>
              </w:rPr>
            </w:pPr>
          </w:p>
        </w:tc>
      </w:tr>
      <w:tr w:rsidR="00EB028C" w:rsidTr="006B7E54">
        <w:tc>
          <w:tcPr>
            <w:tcW w:w="567" w:type="dxa"/>
            <w:tcBorders>
              <w:top w:val="single" w:sz="4" w:space="0" w:color="auto"/>
            </w:tcBorders>
          </w:tcPr>
          <w:p w:rsidR="00EB028C" w:rsidRPr="0027769D" w:rsidRDefault="00EB028C" w:rsidP="006B7E54">
            <w:pPr>
              <w:spacing w:line="232" w:lineRule="auto"/>
              <w:ind w:left="113" w:right="113"/>
              <w:rPr>
                <w:rFonts w:ascii="Arial" w:eastAsia="Arial" w:hAnsi="Arial"/>
                <w:b/>
                <w:sz w:val="16"/>
              </w:rPr>
            </w:pPr>
            <w:r w:rsidRPr="0027769D">
              <w:rPr>
                <w:rFonts w:ascii="Arial" w:eastAsia="Arial" w:hAnsi="Arial"/>
                <w:b/>
                <w:sz w:val="16"/>
              </w:rPr>
              <w:t>1</w:t>
            </w:r>
          </w:p>
        </w:tc>
        <w:tc>
          <w:tcPr>
            <w:tcW w:w="2835" w:type="dxa"/>
            <w:tcBorders>
              <w:top w:val="single" w:sz="4" w:space="0" w:color="auto"/>
            </w:tcBorders>
          </w:tcPr>
          <w:p w:rsidR="00EB028C" w:rsidRDefault="00EB028C" w:rsidP="006B7E54">
            <w:pPr>
              <w:spacing w:line="232" w:lineRule="auto"/>
              <w:ind w:left="113" w:right="113"/>
              <w:rPr>
                <w:rFonts w:ascii="Arial" w:eastAsia="Arial" w:hAnsi="Arial"/>
                <w:b/>
                <w:sz w:val="22"/>
              </w:rPr>
            </w:pPr>
            <w:r>
              <w:rPr>
                <w:rFonts w:ascii="Arial" w:eastAsia="Arial" w:hAnsi="Arial"/>
                <w:b/>
                <w:sz w:val="16"/>
              </w:rPr>
              <w:t>Codice intervento e Titolo</w:t>
            </w:r>
          </w:p>
        </w:tc>
        <w:tc>
          <w:tcPr>
            <w:tcW w:w="6237" w:type="dxa"/>
            <w:tcBorders>
              <w:top w:val="single" w:sz="4" w:space="0" w:color="auto"/>
            </w:tcBorders>
          </w:tcPr>
          <w:p w:rsidR="00EB028C" w:rsidRPr="007345FD" w:rsidRDefault="00C27D39" w:rsidP="00C27D39">
            <w:pPr>
              <w:spacing w:line="232" w:lineRule="auto"/>
              <w:ind w:left="113" w:right="113"/>
              <w:jc w:val="both"/>
              <w:rPr>
                <w:rFonts w:ascii="Arial" w:eastAsia="Arial" w:hAnsi="Arial"/>
                <w:b/>
                <w:sz w:val="22"/>
              </w:rPr>
            </w:pPr>
            <w:r>
              <w:rPr>
                <w:rFonts w:ascii="Arial" w:hAnsi="Arial"/>
                <w:b/>
                <w:color w:val="000000"/>
                <w:sz w:val="16"/>
                <w:szCs w:val="16"/>
              </w:rPr>
              <w:t>SL</w:t>
            </w:r>
            <w:r w:rsidR="00BE32A2">
              <w:rPr>
                <w:rFonts w:ascii="Arial" w:hAnsi="Arial"/>
                <w:b/>
                <w:color w:val="000000"/>
                <w:sz w:val="16"/>
                <w:szCs w:val="16"/>
              </w:rPr>
              <w:t>.</w:t>
            </w:r>
            <w:r>
              <w:rPr>
                <w:rFonts w:ascii="Arial" w:hAnsi="Arial"/>
                <w:b/>
                <w:color w:val="000000"/>
                <w:sz w:val="16"/>
                <w:szCs w:val="16"/>
              </w:rPr>
              <w:t>3.1 Valorizzazione dei Siti Naturalistici e sistemi di connessione in rete degli stessi anche per la fruizione turistica sostenibile</w:t>
            </w:r>
          </w:p>
        </w:tc>
      </w:tr>
      <w:tr w:rsidR="00EB028C" w:rsidTr="006B7E54">
        <w:tc>
          <w:tcPr>
            <w:tcW w:w="567" w:type="dxa"/>
          </w:tcPr>
          <w:p w:rsidR="00EB028C" w:rsidRPr="0027769D" w:rsidRDefault="00EB028C" w:rsidP="006B7E54">
            <w:pPr>
              <w:spacing w:line="232" w:lineRule="auto"/>
              <w:ind w:left="113" w:right="113"/>
              <w:rPr>
                <w:rFonts w:ascii="Arial" w:eastAsia="Arial" w:hAnsi="Arial"/>
                <w:b/>
                <w:sz w:val="16"/>
              </w:rPr>
            </w:pPr>
            <w:r w:rsidRPr="0027769D">
              <w:rPr>
                <w:rFonts w:ascii="Arial" w:eastAsia="Arial" w:hAnsi="Arial"/>
                <w:b/>
                <w:sz w:val="16"/>
              </w:rPr>
              <w:t>2</w:t>
            </w:r>
          </w:p>
        </w:tc>
        <w:tc>
          <w:tcPr>
            <w:tcW w:w="2835"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Obiettivo</w:t>
            </w:r>
          </w:p>
        </w:tc>
        <w:tc>
          <w:tcPr>
            <w:tcW w:w="6237" w:type="dxa"/>
          </w:tcPr>
          <w:p w:rsidR="00C27D39" w:rsidRPr="00C27D39" w:rsidRDefault="00C27D39" w:rsidP="00623077">
            <w:pPr>
              <w:spacing w:before="120"/>
              <w:ind w:left="130" w:right="153"/>
              <w:jc w:val="both"/>
              <w:rPr>
                <w:rFonts w:ascii="Arial" w:hAnsi="Arial"/>
                <w:sz w:val="16"/>
                <w:szCs w:val="16"/>
              </w:rPr>
            </w:pPr>
            <w:r w:rsidRPr="00C27D39">
              <w:rPr>
                <w:rFonts w:ascii="Arial" w:hAnsi="Arial"/>
                <w:sz w:val="16"/>
                <w:szCs w:val="16"/>
              </w:rPr>
              <w:t xml:space="preserve">Al fine di costruire una rete tematica di siti naturalistici ad alto valore ambientale, sia per preservarne la biodiversità che per potenziarne il sistema di fruizione ecologica e turistica (compatibile con i valori ambientali medesimi dei siti), l’intervento propone </w:t>
            </w:r>
            <w:r w:rsidR="00787140">
              <w:rPr>
                <w:rFonts w:ascii="Arial" w:hAnsi="Arial"/>
                <w:sz w:val="16"/>
                <w:szCs w:val="16"/>
              </w:rPr>
              <w:t xml:space="preserve">azioni </w:t>
            </w:r>
            <w:r w:rsidRPr="00C27D39">
              <w:rPr>
                <w:rFonts w:ascii="Arial" w:hAnsi="Arial"/>
                <w:sz w:val="16"/>
                <w:szCs w:val="16"/>
              </w:rPr>
              <w:t>che possano riqualificare i contesti in oggetto, in coerenza con i relativi piani di gestione, e possano costituire occasione di valorizzazione turistica.</w:t>
            </w:r>
          </w:p>
          <w:p w:rsidR="00C27D39" w:rsidRPr="00C27D39" w:rsidRDefault="006B7E54" w:rsidP="00787140">
            <w:pPr>
              <w:ind w:left="132" w:right="151"/>
              <w:jc w:val="both"/>
              <w:rPr>
                <w:rFonts w:ascii="Arial" w:hAnsi="Arial"/>
                <w:sz w:val="16"/>
                <w:szCs w:val="16"/>
              </w:rPr>
            </w:pPr>
            <w:r>
              <w:rPr>
                <w:rFonts w:ascii="Arial" w:hAnsi="Arial"/>
                <w:sz w:val="16"/>
                <w:szCs w:val="16"/>
              </w:rPr>
              <w:t xml:space="preserve">Gli investimenti per la </w:t>
            </w:r>
            <w:r w:rsidR="00C27D39" w:rsidRPr="00C27D39">
              <w:rPr>
                <w:rFonts w:ascii="Arial" w:hAnsi="Arial"/>
                <w:sz w:val="16"/>
                <w:szCs w:val="16"/>
              </w:rPr>
              <w:t>Riqualificazione e valorizzazione delle aree rurali</w:t>
            </w:r>
            <w:r w:rsidR="00787140">
              <w:rPr>
                <w:rFonts w:ascii="Arial" w:hAnsi="Arial"/>
                <w:sz w:val="16"/>
                <w:szCs w:val="16"/>
              </w:rPr>
              <w:t>,</w:t>
            </w:r>
            <w:r w:rsidR="00C27D39" w:rsidRPr="00C27D39">
              <w:rPr>
                <w:rFonts w:ascii="Arial" w:hAnsi="Arial"/>
                <w:sz w:val="16"/>
                <w:szCs w:val="16"/>
              </w:rPr>
              <w:t xml:space="preserve"> e</w:t>
            </w:r>
            <w:r w:rsidR="00787140">
              <w:rPr>
                <w:rFonts w:ascii="Arial" w:hAnsi="Arial"/>
                <w:sz w:val="16"/>
                <w:szCs w:val="16"/>
              </w:rPr>
              <w:t>d</w:t>
            </w:r>
            <w:r w:rsidR="00C27D39" w:rsidRPr="00C27D39">
              <w:rPr>
                <w:rFonts w:ascii="Arial" w:hAnsi="Arial"/>
                <w:sz w:val="16"/>
                <w:szCs w:val="16"/>
              </w:rPr>
              <w:t xml:space="preserve"> in particolare delle Aree Naturali Protette e dei siti Natu</w:t>
            </w:r>
            <w:r w:rsidR="00787140">
              <w:rPr>
                <w:rFonts w:ascii="Arial" w:hAnsi="Arial"/>
                <w:sz w:val="16"/>
                <w:szCs w:val="16"/>
              </w:rPr>
              <w:t xml:space="preserve">ra 2000, intendono contribuire </w:t>
            </w:r>
            <w:r w:rsidR="00C27D39" w:rsidRPr="00C27D39">
              <w:rPr>
                <w:rFonts w:ascii="Arial" w:hAnsi="Arial"/>
                <w:sz w:val="16"/>
                <w:szCs w:val="16"/>
              </w:rPr>
              <w:t>a contrastare il declino socio economi</w:t>
            </w:r>
            <w:r w:rsidR="00787140">
              <w:rPr>
                <w:rFonts w:ascii="Arial" w:hAnsi="Arial"/>
                <w:sz w:val="16"/>
                <w:szCs w:val="16"/>
              </w:rPr>
              <w:t>co e di abbandono delle stesse, attraverso iniziative di rivitalizzazione.</w:t>
            </w:r>
          </w:p>
          <w:p w:rsidR="00EB028C" w:rsidRDefault="009519B8" w:rsidP="008F2F38">
            <w:pPr>
              <w:ind w:left="132" w:right="151"/>
              <w:jc w:val="both"/>
              <w:rPr>
                <w:rFonts w:ascii="Arial" w:eastAsia="Arial" w:hAnsi="Arial"/>
                <w:b/>
                <w:sz w:val="22"/>
              </w:rPr>
            </w:pPr>
            <w:r w:rsidRPr="00787140">
              <w:rPr>
                <w:rFonts w:ascii="Arial" w:hAnsi="Arial"/>
                <w:sz w:val="16"/>
                <w:szCs w:val="16"/>
              </w:rPr>
              <w:t>Il progetto intende costituire una rete di detti siti al fine di favorire attuazioni progressive della rete ecologica dei grandi serbatoi di naturalità dell’area. L’intervento potrà al contempo recuperare e riqualificare anche piccoli manufatti aventi caratteri storico-tradizionali come fontanili, opere di presa, mulini, ponti e passarelle, sistemi di canalizzazione delle acque.</w:t>
            </w:r>
            <w:r w:rsidR="00623077">
              <w:rPr>
                <w:rFonts w:ascii="Arial" w:hAnsi="Arial"/>
                <w:sz w:val="16"/>
                <w:szCs w:val="16"/>
              </w:rPr>
              <w:t xml:space="preserve"> </w:t>
            </w:r>
          </w:p>
        </w:tc>
      </w:tr>
      <w:tr w:rsidR="00EB028C" w:rsidTr="006B7E54">
        <w:tc>
          <w:tcPr>
            <w:tcW w:w="567" w:type="dxa"/>
          </w:tcPr>
          <w:p w:rsidR="00EB028C" w:rsidRPr="0027769D" w:rsidRDefault="00EB028C" w:rsidP="006B7E54">
            <w:pPr>
              <w:spacing w:line="232" w:lineRule="auto"/>
              <w:ind w:left="113" w:right="113"/>
              <w:rPr>
                <w:rFonts w:ascii="Arial" w:eastAsia="Arial" w:hAnsi="Arial"/>
                <w:b/>
                <w:sz w:val="16"/>
              </w:rPr>
            </w:pPr>
            <w:r w:rsidRPr="0027769D">
              <w:rPr>
                <w:rFonts w:ascii="Arial" w:eastAsia="Arial" w:hAnsi="Arial"/>
                <w:b/>
                <w:sz w:val="16"/>
              </w:rPr>
              <w:t>3</w:t>
            </w:r>
          </w:p>
        </w:tc>
        <w:tc>
          <w:tcPr>
            <w:tcW w:w="2835"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Soggetti beneficiari</w:t>
            </w:r>
          </w:p>
        </w:tc>
        <w:tc>
          <w:tcPr>
            <w:tcW w:w="6237" w:type="dxa"/>
          </w:tcPr>
          <w:p w:rsidR="00EB028C" w:rsidRPr="005563BE" w:rsidRDefault="008F2F38" w:rsidP="006B7E54">
            <w:pPr>
              <w:pStyle w:val="Default"/>
              <w:rPr>
                <w:rFonts w:ascii="Arial" w:hAnsi="Arial" w:cs="Arial"/>
                <w:color w:val="FF0000"/>
                <w:sz w:val="16"/>
                <w:szCs w:val="16"/>
              </w:rPr>
            </w:pPr>
            <w:r>
              <w:rPr>
                <w:rFonts w:ascii="Arial" w:hAnsi="Arial" w:cs="Arial"/>
                <w:color w:val="auto"/>
                <w:sz w:val="16"/>
                <w:szCs w:val="16"/>
              </w:rPr>
              <w:t xml:space="preserve">   </w:t>
            </w:r>
            <w:r w:rsidR="008864A2" w:rsidRPr="008864A2">
              <w:rPr>
                <w:rFonts w:ascii="Arial" w:hAnsi="Arial" w:cs="Arial"/>
                <w:color w:val="auto"/>
                <w:sz w:val="16"/>
                <w:szCs w:val="16"/>
              </w:rPr>
              <w:t>Enti pubblici</w:t>
            </w:r>
          </w:p>
        </w:tc>
      </w:tr>
      <w:tr w:rsidR="00EB028C" w:rsidTr="006B7E54">
        <w:tc>
          <w:tcPr>
            <w:tcW w:w="567" w:type="dxa"/>
          </w:tcPr>
          <w:p w:rsidR="00EB028C" w:rsidRPr="0027769D" w:rsidRDefault="00EB028C" w:rsidP="006B7E54">
            <w:pPr>
              <w:spacing w:line="232" w:lineRule="auto"/>
              <w:ind w:left="113" w:right="113"/>
              <w:rPr>
                <w:rFonts w:ascii="Arial" w:eastAsia="Arial" w:hAnsi="Arial"/>
                <w:b/>
                <w:sz w:val="16"/>
              </w:rPr>
            </w:pPr>
            <w:r w:rsidRPr="0027769D">
              <w:rPr>
                <w:rFonts w:ascii="Arial" w:eastAsia="Arial" w:hAnsi="Arial"/>
                <w:b/>
                <w:sz w:val="16"/>
              </w:rPr>
              <w:t>4</w:t>
            </w:r>
          </w:p>
        </w:tc>
        <w:tc>
          <w:tcPr>
            <w:tcW w:w="2835"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CUP</w:t>
            </w:r>
          </w:p>
        </w:tc>
        <w:tc>
          <w:tcPr>
            <w:tcW w:w="6237" w:type="dxa"/>
          </w:tcPr>
          <w:p w:rsidR="00EB028C" w:rsidRDefault="00EB028C" w:rsidP="006B7E54">
            <w:pPr>
              <w:spacing w:line="232" w:lineRule="auto"/>
              <w:ind w:left="113" w:right="113"/>
              <w:rPr>
                <w:rFonts w:ascii="Arial" w:eastAsia="Arial" w:hAnsi="Arial"/>
                <w:b/>
                <w:sz w:val="22"/>
              </w:rPr>
            </w:pPr>
          </w:p>
        </w:tc>
      </w:tr>
      <w:tr w:rsidR="00EB028C" w:rsidTr="008F2F38">
        <w:trPr>
          <w:trHeight w:val="502"/>
        </w:trPr>
        <w:tc>
          <w:tcPr>
            <w:tcW w:w="567" w:type="dxa"/>
          </w:tcPr>
          <w:p w:rsidR="00EB028C" w:rsidRPr="0027769D" w:rsidRDefault="00EB028C" w:rsidP="006B7E54">
            <w:pPr>
              <w:spacing w:line="232" w:lineRule="auto"/>
              <w:ind w:left="113" w:right="113"/>
              <w:rPr>
                <w:rFonts w:ascii="Arial" w:eastAsia="Arial" w:hAnsi="Arial"/>
                <w:b/>
                <w:sz w:val="16"/>
              </w:rPr>
            </w:pPr>
            <w:r w:rsidRPr="0027769D">
              <w:rPr>
                <w:rFonts w:ascii="Arial" w:eastAsia="Arial" w:hAnsi="Arial"/>
                <w:b/>
                <w:sz w:val="16"/>
              </w:rPr>
              <w:t>5</w:t>
            </w:r>
          </w:p>
        </w:tc>
        <w:tc>
          <w:tcPr>
            <w:tcW w:w="2835"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Dotazione finanziaria</w:t>
            </w:r>
          </w:p>
        </w:tc>
        <w:tc>
          <w:tcPr>
            <w:tcW w:w="6237" w:type="dxa"/>
          </w:tcPr>
          <w:p w:rsidR="00EB028C" w:rsidRDefault="008864A2" w:rsidP="008864A2">
            <w:pPr>
              <w:spacing w:line="232" w:lineRule="auto"/>
              <w:ind w:left="113" w:right="113"/>
              <w:rPr>
                <w:rFonts w:ascii="Arial" w:eastAsia="Arial" w:hAnsi="Arial"/>
                <w:b/>
                <w:sz w:val="22"/>
              </w:rPr>
            </w:pPr>
            <w:r>
              <w:rPr>
                <w:rFonts w:ascii="Arial" w:hAnsi="Arial"/>
                <w:color w:val="000000"/>
                <w:sz w:val="16"/>
                <w:szCs w:val="16"/>
              </w:rPr>
              <w:t>Fino a €</w:t>
            </w:r>
            <w:r w:rsidR="00221774">
              <w:rPr>
                <w:rFonts w:ascii="Arial" w:hAnsi="Arial"/>
                <w:color w:val="000000"/>
                <w:sz w:val="16"/>
                <w:szCs w:val="16"/>
              </w:rPr>
              <w:t xml:space="preserve"> </w:t>
            </w:r>
            <w:r>
              <w:rPr>
                <w:rFonts w:ascii="Arial" w:hAnsi="Arial"/>
                <w:color w:val="000000"/>
                <w:sz w:val="16"/>
                <w:szCs w:val="16"/>
              </w:rPr>
              <w:t>526.500</w:t>
            </w:r>
            <w:r w:rsidR="007345FD" w:rsidRPr="007345FD">
              <w:rPr>
                <w:rFonts w:ascii="Arial" w:hAnsi="Arial"/>
                <w:color w:val="000000"/>
                <w:sz w:val="16"/>
                <w:szCs w:val="16"/>
              </w:rPr>
              <w:t>,00 quale quota parte dei € 4.366.979,16 messi a disposizione dell’area interna nell’ambito delle misure del PSR</w:t>
            </w:r>
          </w:p>
        </w:tc>
      </w:tr>
      <w:tr w:rsidR="00EB028C" w:rsidTr="008F2F38">
        <w:trPr>
          <w:trHeight w:val="266"/>
        </w:trPr>
        <w:tc>
          <w:tcPr>
            <w:tcW w:w="567" w:type="dxa"/>
          </w:tcPr>
          <w:p w:rsidR="00EB028C" w:rsidRPr="0027769D" w:rsidRDefault="00EB028C" w:rsidP="006B7E54">
            <w:pPr>
              <w:spacing w:line="232" w:lineRule="auto"/>
              <w:ind w:left="113" w:right="113"/>
              <w:rPr>
                <w:rFonts w:ascii="Arial" w:eastAsia="Arial" w:hAnsi="Arial"/>
                <w:b/>
                <w:sz w:val="16"/>
              </w:rPr>
            </w:pPr>
            <w:r w:rsidRPr="0027769D">
              <w:rPr>
                <w:rFonts w:ascii="Arial" w:eastAsia="Arial" w:hAnsi="Arial"/>
                <w:b/>
                <w:sz w:val="16"/>
              </w:rPr>
              <w:t>6</w:t>
            </w:r>
          </w:p>
        </w:tc>
        <w:tc>
          <w:tcPr>
            <w:tcW w:w="2835"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Fonte finanziaria</w:t>
            </w:r>
          </w:p>
        </w:tc>
        <w:tc>
          <w:tcPr>
            <w:tcW w:w="6237" w:type="dxa"/>
          </w:tcPr>
          <w:p w:rsidR="00EB028C" w:rsidRDefault="00C27D39" w:rsidP="006B7E54">
            <w:pPr>
              <w:spacing w:line="232" w:lineRule="auto"/>
              <w:ind w:left="113" w:right="113"/>
              <w:rPr>
                <w:rFonts w:ascii="Arial" w:eastAsia="Arial" w:hAnsi="Arial"/>
                <w:b/>
                <w:sz w:val="22"/>
              </w:rPr>
            </w:pPr>
            <w:r>
              <w:rPr>
                <w:rFonts w:ascii="Arial" w:hAnsi="Arial"/>
                <w:color w:val="000000"/>
                <w:sz w:val="16"/>
                <w:szCs w:val="16"/>
              </w:rPr>
              <w:t>PSR 2014-2020 Misura 7.6</w:t>
            </w:r>
            <w:r w:rsidR="001812DC" w:rsidRPr="001812DC">
              <w:rPr>
                <w:rFonts w:ascii="Arial" w:hAnsi="Arial"/>
                <w:color w:val="000000"/>
                <w:sz w:val="16"/>
                <w:szCs w:val="16"/>
              </w:rPr>
              <w:t>.1</w:t>
            </w:r>
          </w:p>
        </w:tc>
      </w:tr>
      <w:tr w:rsidR="00EB028C" w:rsidTr="00623077">
        <w:trPr>
          <w:trHeight w:val="3450"/>
        </w:trPr>
        <w:tc>
          <w:tcPr>
            <w:tcW w:w="567"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7</w:t>
            </w:r>
          </w:p>
        </w:tc>
        <w:tc>
          <w:tcPr>
            <w:tcW w:w="2835"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Contenuti dei progetti cantierabili</w:t>
            </w:r>
          </w:p>
        </w:tc>
        <w:tc>
          <w:tcPr>
            <w:tcW w:w="6237" w:type="dxa"/>
            <w:vAlign w:val="center"/>
          </w:tcPr>
          <w:p w:rsidR="009519B8" w:rsidRDefault="009519B8" w:rsidP="00623077">
            <w:pPr>
              <w:autoSpaceDE w:val="0"/>
              <w:autoSpaceDN w:val="0"/>
              <w:adjustRightInd w:val="0"/>
              <w:spacing w:before="120" w:after="16"/>
              <w:ind w:left="130" w:right="153"/>
              <w:jc w:val="both"/>
              <w:rPr>
                <w:rFonts w:ascii="Arial" w:hAnsi="Arial"/>
                <w:bCs/>
                <w:iCs/>
                <w:sz w:val="16"/>
                <w:szCs w:val="16"/>
              </w:rPr>
            </w:pPr>
            <w:r>
              <w:rPr>
                <w:rFonts w:ascii="Arial" w:hAnsi="Arial"/>
                <w:bCs/>
                <w:iCs/>
                <w:sz w:val="16"/>
                <w:szCs w:val="16"/>
              </w:rPr>
              <w:t>Le progettualità candidabili a valere sulla misura 7.6.1 del PSR riguarderanno a</w:t>
            </w:r>
            <w:r w:rsidR="00787140">
              <w:rPr>
                <w:rFonts w:ascii="Arial" w:hAnsi="Arial"/>
                <w:bCs/>
                <w:iCs/>
                <w:sz w:val="16"/>
                <w:szCs w:val="16"/>
              </w:rPr>
              <w:t>zioni finalizzate</w:t>
            </w:r>
            <w:r>
              <w:rPr>
                <w:rFonts w:ascii="Arial" w:hAnsi="Arial"/>
                <w:bCs/>
                <w:iCs/>
                <w:sz w:val="16"/>
                <w:szCs w:val="16"/>
              </w:rPr>
              <w:t>:</w:t>
            </w:r>
          </w:p>
          <w:tbl>
            <w:tblPr>
              <w:tblW w:w="0" w:type="auto"/>
              <w:tblBorders>
                <w:top w:val="nil"/>
                <w:left w:val="nil"/>
                <w:bottom w:val="nil"/>
                <w:right w:val="nil"/>
              </w:tblBorders>
              <w:tblLayout w:type="fixed"/>
              <w:tblLook w:val="0000" w:firstRow="0" w:lastRow="0" w:firstColumn="0" w:lastColumn="0" w:noHBand="0" w:noVBand="0"/>
            </w:tblPr>
            <w:tblGrid>
              <w:gridCol w:w="6096"/>
            </w:tblGrid>
            <w:tr w:rsidR="00865D8E" w:rsidRPr="00865D8E" w:rsidTr="00865D8E">
              <w:trPr>
                <w:trHeight w:val="3085"/>
              </w:trPr>
              <w:tc>
                <w:tcPr>
                  <w:tcW w:w="6096" w:type="dxa"/>
                </w:tcPr>
                <w:p w:rsidR="00865D8E" w:rsidRPr="00865D8E" w:rsidRDefault="00865D8E" w:rsidP="00865D8E">
                  <w:pPr>
                    <w:pStyle w:val="Paragrafoelenco"/>
                    <w:numPr>
                      <w:ilvl w:val="0"/>
                      <w:numId w:val="3"/>
                    </w:numPr>
                    <w:autoSpaceDE w:val="0"/>
                    <w:autoSpaceDN w:val="0"/>
                    <w:adjustRightInd w:val="0"/>
                    <w:ind w:left="318" w:hanging="284"/>
                    <w:rPr>
                      <w:rFonts w:ascii="Arial" w:hAnsi="Arial"/>
                      <w:bCs/>
                      <w:iCs/>
                      <w:sz w:val="16"/>
                      <w:szCs w:val="16"/>
                    </w:rPr>
                  </w:pPr>
                  <w:proofErr w:type="gramStart"/>
                  <w:r w:rsidRPr="00865D8E">
                    <w:rPr>
                      <w:rFonts w:ascii="Arial" w:hAnsi="Arial"/>
                      <w:bCs/>
                      <w:iCs/>
                      <w:sz w:val="16"/>
                      <w:szCs w:val="16"/>
                    </w:rPr>
                    <w:t>alla</w:t>
                  </w:r>
                  <w:proofErr w:type="gramEnd"/>
                  <w:r w:rsidRPr="00865D8E">
                    <w:rPr>
                      <w:rFonts w:ascii="Arial" w:hAnsi="Arial"/>
                      <w:bCs/>
                      <w:iCs/>
                      <w:sz w:val="16"/>
                      <w:szCs w:val="16"/>
                    </w:rPr>
                    <w:t xml:space="preserve"> valorizzazione delle risorse naturalistiche, ambientali e paesaggistiche sia tramite interventi di restauro e riqualificazione che tramite il ripristino delle funzioni </w:t>
                  </w:r>
                  <w:proofErr w:type="spellStart"/>
                  <w:r w:rsidRPr="00865D8E">
                    <w:rPr>
                      <w:rFonts w:ascii="Arial" w:hAnsi="Arial"/>
                      <w:bCs/>
                      <w:iCs/>
                      <w:sz w:val="16"/>
                      <w:szCs w:val="16"/>
                    </w:rPr>
                    <w:t>ecosistemiche</w:t>
                  </w:r>
                  <w:proofErr w:type="spellEnd"/>
                  <w:r w:rsidRPr="00865D8E">
                    <w:rPr>
                      <w:rFonts w:ascii="Arial" w:hAnsi="Arial"/>
                      <w:bCs/>
                      <w:iCs/>
                      <w:sz w:val="16"/>
                      <w:szCs w:val="16"/>
                    </w:rPr>
                    <w:t xml:space="preserve"> dei siti naturali; </w:t>
                  </w:r>
                </w:p>
                <w:p w:rsidR="00865D8E" w:rsidRPr="00865D8E" w:rsidRDefault="00865D8E" w:rsidP="00865D8E">
                  <w:pPr>
                    <w:pStyle w:val="Paragrafoelenco"/>
                    <w:numPr>
                      <w:ilvl w:val="0"/>
                      <w:numId w:val="3"/>
                    </w:numPr>
                    <w:autoSpaceDE w:val="0"/>
                    <w:autoSpaceDN w:val="0"/>
                    <w:adjustRightInd w:val="0"/>
                    <w:ind w:left="318" w:hanging="284"/>
                    <w:rPr>
                      <w:rFonts w:ascii="Arial" w:hAnsi="Arial"/>
                      <w:bCs/>
                      <w:iCs/>
                      <w:sz w:val="16"/>
                      <w:szCs w:val="16"/>
                    </w:rPr>
                  </w:pPr>
                  <w:proofErr w:type="gramStart"/>
                  <w:r w:rsidRPr="00865D8E">
                    <w:rPr>
                      <w:rFonts w:ascii="Arial" w:hAnsi="Arial"/>
                      <w:bCs/>
                      <w:iCs/>
                      <w:sz w:val="16"/>
                      <w:szCs w:val="16"/>
                    </w:rPr>
                    <w:t>al</w:t>
                  </w:r>
                  <w:proofErr w:type="gramEnd"/>
                  <w:r w:rsidRPr="00865D8E">
                    <w:rPr>
                      <w:rFonts w:ascii="Arial" w:hAnsi="Arial"/>
                      <w:bCs/>
                      <w:iCs/>
                      <w:sz w:val="16"/>
                      <w:szCs w:val="16"/>
                    </w:rPr>
                    <w:t xml:space="preserve"> recupero e la riqualificazione di aree ad elevata valenza ambientale introducendo infrastrutture leggere per la fruizione turistica e l'educazione ambientale; </w:t>
                  </w:r>
                </w:p>
                <w:p w:rsidR="00865D8E" w:rsidRPr="00865D8E" w:rsidRDefault="00865D8E" w:rsidP="00865D8E">
                  <w:pPr>
                    <w:pStyle w:val="Paragrafoelenco"/>
                    <w:numPr>
                      <w:ilvl w:val="0"/>
                      <w:numId w:val="3"/>
                    </w:numPr>
                    <w:autoSpaceDE w:val="0"/>
                    <w:autoSpaceDN w:val="0"/>
                    <w:adjustRightInd w:val="0"/>
                    <w:ind w:left="318" w:hanging="284"/>
                    <w:rPr>
                      <w:rFonts w:ascii="Arial" w:hAnsi="Arial"/>
                      <w:bCs/>
                      <w:iCs/>
                      <w:sz w:val="16"/>
                      <w:szCs w:val="16"/>
                    </w:rPr>
                  </w:pPr>
                  <w:proofErr w:type="gramStart"/>
                  <w:r w:rsidRPr="00865D8E">
                    <w:rPr>
                      <w:rFonts w:ascii="Arial" w:hAnsi="Arial"/>
                      <w:bCs/>
                      <w:iCs/>
                      <w:sz w:val="16"/>
                      <w:szCs w:val="16"/>
                    </w:rPr>
                    <w:t>alla</w:t>
                  </w:r>
                  <w:proofErr w:type="gramEnd"/>
                  <w:r w:rsidRPr="00865D8E">
                    <w:rPr>
                      <w:rFonts w:ascii="Arial" w:hAnsi="Arial"/>
                      <w:bCs/>
                      <w:iCs/>
                      <w:sz w:val="16"/>
                      <w:szCs w:val="16"/>
                    </w:rPr>
                    <w:t xml:space="preserve"> realizzazione, riqualificazione delle rete escursionistica, della rete di percorsi ciclo-pedonali e della rete dei percorsi tematici di importanza strategica regionale; </w:t>
                  </w:r>
                </w:p>
                <w:p w:rsidR="00865D8E" w:rsidRPr="00865D8E" w:rsidRDefault="00865D8E" w:rsidP="00865D8E">
                  <w:pPr>
                    <w:pStyle w:val="Paragrafoelenco"/>
                    <w:numPr>
                      <w:ilvl w:val="0"/>
                      <w:numId w:val="3"/>
                    </w:numPr>
                    <w:autoSpaceDE w:val="0"/>
                    <w:autoSpaceDN w:val="0"/>
                    <w:adjustRightInd w:val="0"/>
                    <w:ind w:left="318" w:hanging="284"/>
                    <w:rPr>
                      <w:rFonts w:ascii="Arial" w:hAnsi="Arial"/>
                      <w:bCs/>
                      <w:iCs/>
                      <w:sz w:val="16"/>
                      <w:szCs w:val="16"/>
                    </w:rPr>
                  </w:pPr>
                  <w:proofErr w:type="gramStart"/>
                  <w:r w:rsidRPr="00865D8E">
                    <w:rPr>
                      <w:rFonts w:ascii="Arial" w:hAnsi="Arial"/>
                      <w:bCs/>
                      <w:iCs/>
                      <w:sz w:val="16"/>
                      <w:szCs w:val="16"/>
                    </w:rPr>
                    <w:t>al</w:t>
                  </w:r>
                  <w:proofErr w:type="gramEnd"/>
                  <w:r w:rsidRPr="00865D8E">
                    <w:rPr>
                      <w:rFonts w:ascii="Arial" w:hAnsi="Arial"/>
                      <w:bCs/>
                      <w:iCs/>
                      <w:sz w:val="16"/>
                      <w:szCs w:val="16"/>
                    </w:rPr>
                    <w:t xml:space="preserve"> monitoraggio e studi territoriali finalizzati alla verifica dell'efficacia degli strumenti di pianificazione delle aree di pregio ambientale; </w:t>
                  </w:r>
                </w:p>
                <w:p w:rsidR="00865D8E" w:rsidRDefault="00865D8E" w:rsidP="00865D8E">
                  <w:pPr>
                    <w:pStyle w:val="Paragrafoelenco"/>
                    <w:numPr>
                      <w:ilvl w:val="0"/>
                      <w:numId w:val="3"/>
                    </w:numPr>
                    <w:autoSpaceDE w:val="0"/>
                    <w:autoSpaceDN w:val="0"/>
                    <w:adjustRightInd w:val="0"/>
                    <w:ind w:left="318" w:hanging="284"/>
                    <w:rPr>
                      <w:rFonts w:ascii="Arial" w:hAnsi="Arial"/>
                      <w:bCs/>
                      <w:iCs/>
                      <w:sz w:val="16"/>
                      <w:szCs w:val="16"/>
                    </w:rPr>
                  </w:pPr>
                  <w:proofErr w:type="gramStart"/>
                  <w:r w:rsidRPr="00865D8E">
                    <w:rPr>
                      <w:rFonts w:ascii="Arial" w:hAnsi="Arial"/>
                      <w:bCs/>
                      <w:iCs/>
                      <w:sz w:val="16"/>
                      <w:szCs w:val="16"/>
                    </w:rPr>
                    <w:t>ad</w:t>
                  </w:r>
                  <w:proofErr w:type="gramEnd"/>
                  <w:r w:rsidRPr="00865D8E">
                    <w:rPr>
                      <w:rFonts w:ascii="Arial" w:hAnsi="Arial"/>
                      <w:bCs/>
                      <w:iCs/>
                      <w:sz w:val="16"/>
                      <w:szCs w:val="16"/>
                    </w:rPr>
                    <w:t xml:space="preserve"> interventi di recupero e riqualificazione funzionale del patrimonio edilizio, ambientale e paesaggistico, a scopo didattico, dimostrativo e turistico; </w:t>
                  </w:r>
                </w:p>
                <w:p w:rsidR="00865D8E" w:rsidRPr="00865D8E" w:rsidRDefault="00865D8E" w:rsidP="00865D8E">
                  <w:pPr>
                    <w:pStyle w:val="Paragrafoelenco"/>
                    <w:numPr>
                      <w:ilvl w:val="0"/>
                      <w:numId w:val="3"/>
                    </w:numPr>
                    <w:autoSpaceDE w:val="0"/>
                    <w:autoSpaceDN w:val="0"/>
                    <w:adjustRightInd w:val="0"/>
                    <w:ind w:left="318" w:hanging="284"/>
                    <w:rPr>
                      <w:rFonts w:ascii="Arial" w:hAnsi="Arial"/>
                      <w:bCs/>
                      <w:iCs/>
                      <w:sz w:val="16"/>
                      <w:szCs w:val="16"/>
                    </w:rPr>
                  </w:pPr>
                  <w:proofErr w:type="gramStart"/>
                  <w:r w:rsidRPr="00865D8E">
                    <w:rPr>
                      <w:rFonts w:ascii="Arial" w:hAnsi="Arial"/>
                      <w:bCs/>
                      <w:iCs/>
                      <w:sz w:val="16"/>
                      <w:szCs w:val="16"/>
                    </w:rPr>
                    <w:t>alla</w:t>
                  </w:r>
                  <w:proofErr w:type="gramEnd"/>
                  <w:r w:rsidRPr="00865D8E">
                    <w:rPr>
                      <w:rFonts w:ascii="Arial" w:hAnsi="Arial"/>
                      <w:bCs/>
                      <w:iCs/>
                      <w:sz w:val="16"/>
                      <w:szCs w:val="16"/>
                    </w:rPr>
                    <w:t xml:space="preserve"> realizzazione o riqualificazione di micro reti ecologiche sulle quali sviluppare percorsi dedicati alla mobilità lenta (piste pedonali, ciclabili, </w:t>
                  </w:r>
                  <w:proofErr w:type="spellStart"/>
                  <w:r w:rsidRPr="00865D8E">
                    <w:rPr>
                      <w:rFonts w:ascii="Arial" w:hAnsi="Arial"/>
                      <w:bCs/>
                      <w:iCs/>
                      <w:sz w:val="16"/>
                      <w:szCs w:val="16"/>
                    </w:rPr>
                    <w:t>ippovie</w:t>
                  </w:r>
                  <w:proofErr w:type="spellEnd"/>
                  <w:r w:rsidRPr="00865D8E">
                    <w:rPr>
                      <w:rFonts w:ascii="Arial" w:hAnsi="Arial"/>
                      <w:bCs/>
                      <w:iCs/>
                      <w:sz w:val="16"/>
                      <w:szCs w:val="16"/>
                    </w:rPr>
                    <w:t xml:space="preserve">). </w:t>
                  </w:r>
                </w:p>
                <w:p w:rsidR="00865D8E" w:rsidRPr="00865D8E" w:rsidRDefault="00865D8E" w:rsidP="00865D8E">
                  <w:pPr>
                    <w:autoSpaceDE w:val="0"/>
                    <w:autoSpaceDN w:val="0"/>
                    <w:adjustRightInd w:val="0"/>
                    <w:rPr>
                      <w:rFonts w:ascii="Times New Roman" w:eastAsiaTheme="minorHAnsi" w:hAnsi="Times New Roman" w:cs="Times New Roman"/>
                      <w:color w:val="000000"/>
                      <w:sz w:val="23"/>
                      <w:szCs w:val="23"/>
                      <w:lang w:eastAsia="en-US"/>
                    </w:rPr>
                  </w:pPr>
                </w:p>
              </w:tc>
            </w:tr>
          </w:tbl>
          <w:p w:rsidR="00EB028C" w:rsidRPr="00770055" w:rsidRDefault="00EB028C" w:rsidP="00787140">
            <w:pPr>
              <w:autoSpaceDE w:val="0"/>
              <w:autoSpaceDN w:val="0"/>
              <w:adjustRightInd w:val="0"/>
              <w:spacing w:after="16"/>
              <w:ind w:left="132" w:right="151"/>
              <w:jc w:val="both"/>
              <w:rPr>
                <w:rFonts w:ascii="Arial" w:hAnsi="Arial"/>
                <w:bCs/>
                <w:iCs/>
                <w:sz w:val="16"/>
                <w:szCs w:val="16"/>
              </w:rPr>
            </w:pPr>
          </w:p>
        </w:tc>
      </w:tr>
      <w:tr w:rsidR="00EB028C" w:rsidTr="00623077">
        <w:trPr>
          <w:trHeight w:val="2961"/>
        </w:trPr>
        <w:tc>
          <w:tcPr>
            <w:tcW w:w="567" w:type="dxa"/>
          </w:tcPr>
          <w:p w:rsidR="00EB028C" w:rsidRPr="00865D8E" w:rsidRDefault="00EB028C" w:rsidP="006B7E54">
            <w:pPr>
              <w:spacing w:line="232" w:lineRule="auto"/>
              <w:ind w:left="113" w:right="113"/>
              <w:rPr>
                <w:rFonts w:ascii="Arial" w:eastAsia="Arial" w:hAnsi="Arial"/>
                <w:b/>
                <w:sz w:val="16"/>
              </w:rPr>
            </w:pPr>
            <w:r w:rsidRPr="00865D8E">
              <w:rPr>
                <w:rFonts w:ascii="Arial" w:eastAsia="Arial" w:hAnsi="Arial"/>
                <w:b/>
                <w:sz w:val="16"/>
              </w:rPr>
              <w:t>8</w:t>
            </w:r>
          </w:p>
        </w:tc>
        <w:tc>
          <w:tcPr>
            <w:tcW w:w="2835" w:type="dxa"/>
          </w:tcPr>
          <w:p w:rsidR="00EB028C" w:rsidRPr="00865D8E" w:rsidRDefault="00EB028C" w:rsidP="006B7E54">
            <w:pPr>
              <w:spacing w:line="232" w:lineRule="auto"/>
              <w:ind w:left="113" w:right="113"/>
              <w:rPr>
                <w:rFonts w:ascii="Arial" w:eastAsia="Arial" w:hAnsi="Arial"/>
                <w:b/>
                <w:sz w:val="22"/>
              </w:rPr>
            </w:pPr>
            <w:r w:rsidRPr="00865D8E">
              <w:rPr>
                <w:rFonts w:ascii="Arial" w:eastAsia="Arial" w:hAnsi="Arial"/>
                <w:b/>
                <w:sz w:val="16"/>
              </w:rPr>
              <w:t>Tipologia di spesa</w:t>
            </w:r>
          </w:p>
        </w:tc>
        <w:tc>
          <w:tcPr>
            <w:tcW w:w="6237" w:type="dxa"/>
          </w:tcPr>
          <w:p w:rsidR="00770055" w:rsidRPr="00855316" w:rsidRDefault="00770055" w:rsidP="00DE6472">
            <w:pPr>
              <w:spacing w:before="120"/>
              <w:ind w:left="142" w:right="151"/>
              <w:jc w:val="both"/>
              <w:rPr>
                <w:rFonts w:ascii="Arial" w:hAnsi="Arial"/>
                <w:bCs/>
                <w:iCs/>
                <w:sz w:val="16"/>
                <w:szCs w:val="16"/>
              </w:rPr>
            </w:pPr>
            <w:r w:rsidRPr="00855316">
              <w:rPr>
                <w:rFonts w:ascii="Arial" w:hAnsi="Arial"/>
                <w:bCs/>
                <w:iCs/>
                <w:sz w:val="16"/>
                <w:szCs w:val="16"/>
              </w:rPr>
              <w:t>I singoli bandi indicheranno le specifiche voci di spesa ammissibili e comunque nel rispetto di quanto previsto dall’art. 45 paragrafo 2 del Reg. (UE) n. 1305/2013 di seguito riportato:</w:t>
            </w:r>
          </w:p>
          <w:p w:rsidR="00770055" w:rsidRPr="00855316" w:rsidRDefault="00770055" w:rsidP="00DE6472">
            <w:pPr>
              <w:ind w:left="142" w:right="151"/>
              <w:jc w:val="both"/>
              <w:rPr>
                <w:rFonts w:ascii="Arial" w:hAnsi="Arial"/>
                <w:bCs/>
                <w:iCs/>
                <w:sz w:val="16"/>
                <w:szCs w:val="16"/>
              </w:rPr>
            </w:pPr>
            <w:r w:rsidRPr="00855316">
              <w:rPr>
                <w:rFonts w:ascii="Arial" w:hAnsi="Arial"/>
                <w:bCs/>
                <w:iCs/>
                <w:sz w:val="16"/>
                <w:szCs w:val="16"/>
              </w:rPr>
              <w:t>a) costruzione, acquisizione, incluso il leasing, o miglioramento di beni immobili (con le specifiche contenute nei bandi in particolare per terreni e fabbricati);</w:t>
            </w:r>
          </w:p>
          <w:p w:rsidR="00770055" w:rsidRPr="00855316" w:rsidRDefault="00770055" w:rsidP="00DE6472">
            <w:pPr>
              <w:ind w:left="142" w:right="151"/>
              <w:jc w:val="both"/>
              <w:rPr>
                <w:rFonts w:ascii="Arial" w:hAnsi="Arial"/>
                <w:bCs/>
                <w:iCs/>
                <w:sz w:val="16"/>
                <w:szCs w:val="16"/>
              </w:rPr>
            </w:pPr>
            <w:r w:rsidRPr="00855316">
              <w:rPr>
                <w:rFonts w:ascii="Arial" w:hAnsi="Arial"/>
                <w:bCs/>
                <w:iCs/>
                <w:sz w:val="16"/>
                <w:szCs w:val="16"/>
              </w:rPr>
              <w:t xml:space="preserve"> b) acquisto o leasing di nuovi macchinari e attrezzature fino a copertura del valore di mercato del bene;</w:t>
            </w:r>
          </w:p>
          <w:p w:rsidR="00770055" w:rsidRPr="00855316" w:rsidRDefault="00770055" w:rsidP="00DE6472">
            <w:pPr>
              <w:ind w:left="142" w:right="151"/>
              <w:jc w:val="both"/>
              <w:rPr>
                <w:rFonts w:ascii="Arial" w:hAnsi="Arial"/>
                <w:bCs/>
                <w:iCs/>
                <w:sz w:val="16"/>
                <w:szCs w:val="16"/>
              </w:rPr>
            </w:pPr>
            <w:r w:rsidRPr="00855316">
              <w:rPr>
                <w:rFonts w:ascii="Arial" w:hAnsi="Arial"/>
                <w:bCs/>
                <w:iCs/>
                <w:sz w:val="16"/>
                <w:szCs w:val="16"/>
              </w:rPr>
              <w:t>c) spese generali collegate alle spese di cui alle lettere a) e b), come onorari di architetti, ingegneri e consulenti, compensi per consulenze in materia di sostenibilità ambientale ed economica, inclusi studi di fattibilità. Gli studi di fattibilità rimangono spese ammissibili anche quando, in base ai loro risultati, non sono effettuate spese a titolo delle lettere a) e b);</w:t>
            </w:r>
          </w:p>
          <w:p w:rsidR="00770055" w:rsidRPr="00855316" w:rsidRDefault="00770055" w:rsidP="00DE6472">
            <w:pPr>
              <w:ind w:left="142" w:right="151"/>
              <w:jc w:val="both"/>
              <w:rPr>
                <w:rFonts w:ascii="Arial" w:hAnsi="Arial"/>
                <w:bCs/>
                <w:iCs/>
                <w:sz w:val="16"/>
                <w:szCs w:val="16"/>
              </w:rPr>
            </w:pPr>
            <w:r w:rsidRPr="00855316">
              <w:rPr>
                <w:rFonts w:ascii="Arial" w:hAnsi="Arial"/>
                <w:bCs/>
                <w:iCs/>
                <w:sz w:val="16"/>
                <w:szCs w:val="16"/>
              </w:rPr>
              <w:t>d) i seguenti investimenti immateriali: acquisizione o sviluppo di programmi informatici e acquisizione di brevetti, licenze, diritti d'autore, marchi commerciali;</w:t>
            </w:r>
          </w:p>
          <w:p w:rsidR="00EB028C" w:rsidRPr="00770055" w:rsidRDefault="00770055" w:rsidP="00DE6472">
            <w:pPr>
              <w:ind w:left="142" w:right="151"/>
              <w:jc w:val="both"/>
              <w:rPr>
                <w:rFonts w:ascii="Arial" w:hAnsi="Arial"/>
                <w:bCs/>
                <w:iCs/>
                <w:sz w:val="16"/>
                <w:szCs w:val="16"/>
              </w:rPr>
            </w:pPr>
            <w:r w:rsidRPr="00855316">
              <w:rPr>
                <w:rFonts w:ascii="Arial" w:hAnsi="Arial"/>
                <w:bCs/>
                <w:iCs/>
                <w:sz w:val="16"/>
                <w:szCs w:val="16"/>
              </w:rPr>
              <w:t>e) i costi di elaborazione di piani di gestione e loro equivalenti</w:t>
            </w:r>
          </w:p>
        </w:tc>
      </w:tr>
      <w:tr w:rsidR="00EB028C" w:rsidTr="006B7E54">
        <w:tc>
          <w:tcPr>
            <w:tcW w:w="567" w:type="dxa"/>
          </w:tcPr>
          <w:p w:rsidR="00EB028C" w:rsidRPr="0027769D" w:rsidRDefault="00EB028C" w:rsidP="006B7E54">
            <w:pPr>
              <w:spacing w:line="232" w:lineRule="auto"/>
              <w:ind w:left="113" w:right="113"/>
              <w:rPr>
                <w:rFonts w:ascii="Arial" w:eastAsia="Arial" w:hAnsi="Arial"/>
                <w:b/>
                <w:sz w:val="16"/>
              </w:rPr>
            </w:pPr>
            <w:r w:rsidRPr="0027769D">
              <w:rPr>
                <w:rFonts w:ascii="Arial" w:eastAsia="Arial" w:hAnsi="Arial"/>
                <w:b/>
                <w:sz w:val="16"/>
              </w:rPr>
              <w:t>9</w:t>
            </w:r>
          </w:p>
        </w:tc>
        <w:tc>
          <w:tcPr>
            <w:tcW w:w="2835"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Tempi di realizzazione</w:t>
            </w:r>
          </w:p>
        </w:tc>
        <w:tc>
          <w:tcPr>
            <w:tcW w:w="6237" w:type="dxa"/>
          </w:tcPr>
          <w:p w:rsidR="00EB028C" w:rsidRPr="00865D8E" w:rsidRDefault="005563BE" w:rsidP="006B7E54">
            <w:pPr>
              <w:spacing w:line="232" w:lineRule="auto"/>
              <w:ind w:left="113" w:right="113"/>
              <w:rPr>
                <w:rFonts w:ascii="Arial" w:hAnsi="Arial"/>
                <w:sz w:val="16"/>
                <w:szCs w:val="16"/>
              </w:rPr>
            </w:pPr>
            <w:r w:rsidRPr="00865D8E">
              <w:rPr>
                <w:rFonts w:ascii="Arial" w:hAnsi="Arial"/>
                <w:b/>
                <w:sz w:val="16"/>
                <w:szCs w:val="16"/>
              </w:rPr>
              <w:t>Data inizio intervento</w:t>
            </w:r>
            <w:r w:rsidRPr="00865D8E">
              <w:rPr>
                <w:rFonts w:ascii="Arial" w:hAnsi="Arial"/>
                <w:sz w:val="16"/>
                <w:szCs w:val="16"/>
              </w:rPr>
              <w:t>:</w:t>
            </w:r>
            <w:r w:rsidR="00A339F9" w:rsidRPr="00865D8E">
              <w:rPr>
                <w:rFonts w:ascii="Arial" w:hAnsi="Arial"/>
                <w:sz w:val="16"/>
                <w:szCs w:val="16"/>
              </w:rPr>
              <w:t xml:space="preserve"> </w:t>
            </w:r>
            <w:r w:rsidR="00865D8E" w:rsidRPr="00865D8E">
              <w:rPr>
                <w:rFonts w:ascii="Arial" w:hAnsi="Arial"/>
                <w:sz w:val="16"/>
                <w:szCs w:val="16"/>
              </w:rPr>
              <w:t>01/03/2021</w:t>
            </w:r>
          </w:p>
          <w:p w:rsidR="005563BE" w:rsidRDefault="005563BE" w:rsidP="006B7E54">
            <w:pPr>
              <w:spacing w:line="232" w:lineRule="auto"/>
              <w:ind w:left="113" w:right="113"/>
              <w:rPr>
                <w:rFonts w:ascii="Arial" w:eastAsia="Arial" w:hAnsi="Arial"/>
                <w:b/>
                <w:sz w:val="22"/>
              </w:rPr>
            </w:pPr>
            <w:r w:rsidRPr="00865D8E">
              <w:rPr>
                <w:rFonts w:ascii="Arial" w:hAnsi="Arial"/>
                <w:b/>
                <w:sz w:val="16"/>
                <w:szCs w:val="16"/>
              </w:rPr>
              <w:t>Data fine intervento:</w:t>
            </w:r>
            <w:r w:rsidR="00865D8E" w:rsidRPr="00865D8E">
              <w:rPr>
                <w:rFonts w:ascii="Arial" w:hAnsi="Arial"/>
                <w:sz w:val="16"/>
                <w:szCs w:val="16"/>
              </w:rPr>
              <w:t xml:space="preserve"> 30/09/2022</w:t>
            </w:r>
          </w:p>
        </w:tc>
      </w:tr>
      <w:tr w:rsidR="00EB028C" w:rsidTr="006B7E54">
        <w:tc>
          <w:tcPr>
            <w:tcW w:w="567" w:type="dxa"/>
          </w:tcPr>
          <w:p w:rsidR="00EB028C" w:rsidRPr="0027769D" w:rsidRDefault="00EB028C" w:rsidP="006B7E54">
            <w:pPr>
              <w:spacing w:line="232" w:lineRule="auto"/>
              <w:ind w:left="113" w:right="113"/>
              <w:rPr>
                <w:rFonts w:ascii="Arial" w:eastAsia="Arial" w:hAnsi="Arial"/>
                <w:b/>
                <w:sz w:val="16"/>
              </w:rPr>
            </w:pPr>
            <w:r w:rsidRPr="0027769D">
              <w:rPr>
                <w:rFonts w:ascii="Arial" w:eastAsia="Arial" w:hAnsi="Arial"/>
                <w:b/>
                <w:sz w:val="16"/>
              </w:rPr>
              <w:t>10</w:t>
            </w:r>
          </w:p>
        </w:tc>
        <w:tc>
          <w:tcPr>
            <w:tcW w:w="2835"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Indicatori di realizzazione e di risultato</w:t>
            </w:r>
          </w:p>
        </w:tc>
        <w:tc>
          <w:tcPr>
            <w:tcW w:w="6237" w:type="dxa"/>
          </w:tcPr>
          <w:p w:rsidR="00980F87" w:rsidRDefault="00980F87" w:rsidP="00991E4C">
            <w:pPr>
              <w:pStyle w:val="Default"/>
              <w:ind w:left="113" w:right="113"/>
              <w:rPr>
                <w:rFonts w:ascii="Arial" w:hAnsi="Arial" w:cs="Arial"/>
                <w:b/>
                <w:color w:val="auto"/>
                <w:sz w:val="16"/>
                <w:szCs w:val="16"/>
              </w:rPr>
            </w:pPr>
          </w:p>
          <w:p w:rsidR="00A339F9" w:rsidRPr="00865D8E" w:rsidRDefault="00A339F9" w:rsidP="00991E4C">
            <w:pPr>
              <w:pStyle w:val="Default"/>
              <w:ind w:left="113" w:right="113"/>
              <w:rPr>
                <w:rFonts w:ascii="Arial" w:hAnsi="Arial" w:cs="Arial"/>
                <w:b/>
                <w:color w:val="auto"/>
                <w:sz w:val="16"/>
                <w:szCs w:val="16"/>
              </w:rPr>
            </w:pPr>
            <w:r w:rsidRPr="00865D8E">
              <w:rPr>
                <w:rFonts w:ascii="Arial" w:hAnsi="Arial" w:cs="Arial"/>
                <w:b/>
                <w:color w:val="auto"/>
                <w:sz w:val="16"/>
                <w:szCs w:val="16"/>
              </w:rPr>
              <w:t>Indicatore di realizzazione:</w:t>
            </w:r>
          </w:p>
          <w:p w:rsidR="004E0FE5" w:rsidRPr="00865D8E" w:rsidRDefault="00A339F9" w:rsidP="00991E4C">
            <w:pPr>
              <w:pStyle w:val="Default"/>
              <w:ind w:left="113" w:right="113"/>
              <w:rPr>
                <w:rFonts w:ascii="Arial" w:hAnsi="Arial" w:cs="Arial"/>
                <w:color w:val="auto"/>
                <w:sz w:val="16"/>
                <w:szCs w:val="16"/>
              </w:rPr>
            </w:pPr>
            <w:r w:rsidRPr="00865D8E">
              <w:rPr>
                <w:rFonts w:ascii="Arial" w:hAnsi="Arial" w:cs="Arial"/>
                <w:color w:val="auto"/>
                <w:sz w:val="16"/>
                <w:szCs w:val="16"/>
              </w:rPr>
              <w:t xml:space="preserve">N. di </w:t>
            </w:r>
            <w:r w:rsidR="00D66EA9" w:rsidRPr="00865D8E">
              <w:rPr>
                <w:rFonts w:ascii="Arial" w:hAnsi="Arial" w:cs="Arial"/>
                <w:color w:val="auto"/>
                <w:sz w:val="16"/>
                <w:szCs w:val="16"/>
              </w:rPr>
              <w:t>interventi realizzati</w:t>
            </w:r>
          </w:p>
          <w:p w:rsidR="004E0FE5" w:rsidRPr="00865D8E" w:rsidRDefault="004E0FE5" w:rsidP="00991E4C">
            <w:pPr>
              <w:pStyle w:val="Default"/>
              <w:ind w:left="113" w:right="113"/>
              <w:rPr>
                <w:rFonts w:ascii="Arial" w:hAnsi="Arial" w:cs="Arial"/>
                <w:color w:val="auto"/>
                <w:sz w:val="16"/>
                <w:szCs w:val="16"/>
              </w:rPr>
            </w:pPr>
            <w:r w:rsidRPr="00865D8E">
              <w:rPr>
                <w:rFonts w:ascii="Arial" w:hAnsi="Arial" w:cs="Arial"/>
                <w:color w:val="auto"/>
                <w:sz w:val="16"/>
                <w:szCs w:val="16"/>
              </w:rPr>
              <w:t>Baseline: 0</w:t>
            </w:r>
          </w:p>
          <w:p w:rsidR="00EB028C" w:rsidRPr="00865D8E" w:rsidRDefault="00865D8E" w:rsidP="00991E4C">
            <w:pPr>
              <w:pStyle w:val="Default"/>
              <w:ind w:left="113" w:right="113"/>
              <w:rPr>
                <w:rFonts w:ascii="Arial" w:hAnsi="Arial" w:cs="Arial"/>
                <w:color w:val="auto"/>
                <w:sz w:val="16"/>
                <w:szCs w:val="16"/>
              </w:rPr>
            </w:pPr>
            <w:r w:rsidRPr="00865D8E">
              <w:rPr>
                <w:rFonts w:ascii="Arial" w:hAnsi="Arial" w:cs="Arial"/>
                <w:color w:val="auto"/>
                <w:sz w:val="16"/>
                <w:szCs w:val="16"/>
              </w:rPr>
              <w:t>Target: 3</w:t>
            </w:r>
          </w:p>
          <w:p w:rsidR="004E0FE5" w:rsidRPr="00865D8E" w:rsidRDefault="004E0FE5" w:rsidP="00991E4C">
            <w:pPr>
              <w:pStyle w:val="Default"/>
              <w:ind w:left="113" w:right="113"/>
              <w:rPr>
                <w:rFonts w:ascii="Arial" w:hAnsi="Arial" w:cs="Arial"/>
                <w:color w:val="auto"/>
                <w:sz w:val="16"/>
                <w:szCs w:val="16"/>
              </w:rPr>
            </w:pPr>
            <w:r w:rsidRPr="00865D8E">
              <w:rPr>
                <w:rFonts w:ascii="Arial" w:hAnsi="Arial" w:cs="Arial"/>
                <w:color w:val="auto"/>
                <w:sz w:val="16"/>
                <w:szCs w:val="16"/>
              </w:rPr>
              <w:t>Fonte dati: Sistema di monitoraggio PSR Umbria</w:t>
            </w:r>
          </w:p>
          <w:p w:rsidR="004E0FE5" w:rsidRPr="00245888" w:rsidRDefault="004E0FE5" w:rsidP="00991E4C">
            <w:pPr>
              <w:pStyle w:val="Default"/>
              <w:ind w:left="113" w:right="113"/>
              <w:rPr>
                <w:rFonts w:ascii="Arial" w:hAnsi="Arial" w:cs="Arial"/>
                <w:b/>
                <w:color w:val="FF0000"/>
                <w:sz w:val="16"/>
                <w:szCs w:val="16"/>
              </w:rPr>
            </w:pPr>
          </w:p>
          <w:p w:rsidR="004E0FE5" w:rsidRPr="00865D8E" w:rsidRDefault="004E0FE5" w:rsidP="00991E4C">
            <w:pPr>
              <w:pStyle w:val="Default"/>
              <w:ind w:left="113" w:right="113"/>
              <w:rPr>
                <w:rFonts w:ascii="Arial" w:hAnsi="Arial" w:cs="Arial"/>
                <w:b/>
                <w:color w:val="auto"/>
                <w:sz w:val="16"/>
                <w:szCs w:val="16"/>
              </w:rPr>
            </w:pPr>
            <w:r w:rsidRPr="00865D8E">
              <w:rPr>
                <w:rFonts w:ascii="Arial" w:hAnsi="Arial" w:cs="Arial"/>
                <w:b/>
                <w:color w:val="auto"/>
                <w:sz w:val="16"/>
                <w:szCs w:val="16"/>
              </w:rPr>
              <w:t>Indicatore di risultato:</w:t>
            </w:r>
          </w:p>
          <w:p w:rsidR="004E0FE5" w:rsidRPr="00865D8E" w:rsidRDefault="00331F00" w:rsidP="00D66EA9">
            <w:pPr>
              <w:pStyle w:val="Default"/>
              <w:ind w:left="113" w:right="113"/>
              <w:rPr>
                <w:rFonts w:ascii="Arial" w:hAnsi="Arial" w:cs="Arial"/>
                <w:color w:val="auto"/>
                <w:sz w:val="16"/>
                <w:szCs w:val="16"/>
              </w:rPr>
            </w:pPr>
            <w:r w:rsidRPr="00865D8E">
              <w:rPr>
                <w:rFonts w:ascii="Arial" w:hAnsi="Arial" w:cs="Arial"/>
                <w:color w:val="auto"/>
                <w:sz w:val="16"/>
                <w:szCs w:val="16"/>
              </w:rPr>
              <w:t>(ID</w:t>
            </w:r>
            <w:r w:rsidR="00BF1082" w:rsidRPr="00865D8E">
              <w:rPr>
                <w:rFonts w:ascii="Arial" w:hAnsi="Arial" w:cs="Arial"/>
                <w:color w:val="auto"/>
                <w:sz w:val="16"/>
                <w:szCs w:val="16"/>
              </w:rPr>
              <w:t xml:space="preserve"> 442</w:t>
            </w:r>
            <w:r w:rsidRPr="00865D8E">
              <w:rPr>
                <w:rFonts w:ascii="Arial" w:hAnsi="Arial" w:cs="Arial"/>
                <w:color w:val="auto"/>
                <w:sz w:val="16"/>
                <w:szCs w:val="16"/>
              </w:rPr>
              <w:t xml:space="preserve">) </w:t>
            </w:r>
            <w:r w:rsidR="00D66EA9" w:rsidRPr="00865D8E">
              <w:rPr>
                <w:rFonts w:ascii="Arial" w:hAnsi="Arial" w:cs="Arial"/>
                <w:color w:val="auto"/>
                <w:sz w:val="16"/>
                <w:szCs w:val="16"/>
              </w:rPr>
              <w:t>Superficie delle aree agricole ad alto valore naturale (in % sulla superficie territoriale dell’area)</w:t>
            </w:r>
          </w:p>
          <w:p w:rsidR="00331F00" w:rsidRPr="00865D8E" w:rsidRDefault="00331F00" w:rsidP="00991E4C">
            <w:pPr>
              <w:pStyle w:val="Default"/>
              <w:ind w:left="113" w:right="113"/>
              <w:rPr>
                <w:rFonts w:ascii="Arial" w:hAnsi="Arial" w:cs="Arial"/>
                <w:color w:val="auto"/>
                <w:sz w:val="16"/>
                <w:szCs w:val="16"/>
              </w:rPr>
            </w:pPr>
            <w:r w:rsidRPr="00865D8E">
              <w:rPr>
                <w:rFonts w:ascii="Arial" w:hAnsi="Arial" w:cs="Arial"/>
                <w:color w:val="auto"/>
                <w:sz w:val="16"/>
                <w:szCs w:val="16"/>
              </w:rPr>
              <w:lastRenderedPageBreak/>
              <w:t xml:space="preserve">Baseline: </w:t>
            </w:r>
            <w:r w:rsidR="00D66EA9" w:rsidRPr="00865D8E">
              <w:rPr>
                <w:rFonts w:ascii="Arial" w:hAnsi="Arial" w:cs="Arial"/>
                <w:color w:val="auto"/>
                <w:sz w:val="16"/>
                <w:szCs w:val="16"/>
              </w:rPr>
              <w:t>-</w:t>
            </w:r>
          </w:p>
          <w:p w:rsidR="00331F00" w:rsidRPr="00865D8E" w:rsidRDefault="00331F00" w:rsidP="00991E4C">
            <w:pPr>
              <w:pStyle w:val="Default"/>
              <w:ind w:left="113" w:right="113"/>
              <w:rPr>
                <w:rFonts w:ascii="Arial" w:hAnsi="Arial" w:cs="Arial"/>
                <w:color w:val="auto"/>
                <w:sz w:val="16"/>
                <w:szCs w:val="16"/>
              </w:rPr>
            </w:pPr>
            <w:r w:rsidRPr="00865D8E">
              <w:rPr>
                <w:rFonts w:ascii="Arial" w:hAnsi="Arial" w:cs="Arial"/>
                <w:color w:val="auto"/>
                <w:sz w:val="16"/>
                <w:szCs w:val="16"/>
              </w:rPr>
              <w:t xml:space="preserve">Target: </w:t>
            </w:r>
            <w:r w:rsidR="00D66EA9" w:rsidRPr="00865D8E">
              <w:rPr>
                <w:rFonts w:ascii="Arial" w:hAnsi="Arial" w:cs="Arial"/>
                <w:color w:val="auto"/>
                <w:sz w:val="16"/>
                <w:szCs w:val="16"/>
              </w:rPr>
              <w:t>+10%</w:t>
            </w:r>
          </w:p>
          <w:p w:rsidR="00331F00" w:rsidRPr="00865D8E" w:rsidRDefault="00D66EA9" w:rsidP="00991E4C">
            <w:pPr>
              <w:pStyle w:val="Default"/>
              <w:ind w:left="113" w:right="113"/>
              <w:rPr>
                <w:rFonts w:ascii="Arial" w:hAnsi="Arial" w:cs="Arial"/>
                <w:color w:val="auto"/>
                <w:sz w:val="16"/>
                <w:szCs w:val="16"/>
              </w:rPr>
            </w:pPr>
            <w:r w:rsidRPr="00865D8E">
              <w:rPr>
                <w:rFonts w:ascii="Arial" w:hAnsi="Arial" w:cs="Arial"/>
                <w:color w:val="auto"/>
                <w:sz w:val="16"/>
                <w:szCs w:val="16"/>
              </w:rPr>
              <w:t>Fonte dati: ISPRA</w:t>
            </w:r>
          </w:p>
          <w:p w:rsidR="004E0FE5" w:rsidRDefault="004E0FE5" w:rsidP="004E0FE5">
            <w:pPr>
              <w:pStyle w:val="Default"/>
              <w:rPr>
                <w:rFonts w:ascii="Arial" w:eastAsia="Arial" w:hAnsi="Arial"/>
                <w:b/>
                <w:sz w:val="22"/>
              </w:rPr>
            </w:pPr>
          </w:p>
        </w:tc>
      </w:tr>
      <w:tr w:rsidR="00EB028C" w:rsidTr="006B7E54">
        <w:tc>
          <w:tcPr>
            <w:tcW w:w="567" w:type="dxa"/>
          </w:tcPr>
          <w:p w:rsidR="00EB028C" w:rsidRPr="0027769D" w:rsidRDefault="00EB028C" w:rsidP="006B7E54">
            <w:pPr>
              <w:spacing w:line="232" w:lineRule="auto"/>
              <w:ind w:left="113" w:right="113"/>
              <w:rPr>
                <w:rFonts w:ascii="Arial" w:eastAsia="Arial" w:hAnsi="Arial"/>
                <w:b/>
                <w:sz w:val="16"/>
              </w:rPr>
            </w:pPr>
            <w:r w:rsidRPr="0027769D">
              <w:rPr>
                <w:rFonts w:ascii="Arial" w:eastAsia="Arial" w:hAnsi="Arial"/>
                <w:b/>
                <w:sz w:val="16"/>
              </w:rPr>
              <w:lastRenderedPageBreak/>
              <w:t>11</w:t>
            </w:r>
          </w:p>
        </w:tc>
        <w:tc>
          <w:tcPr>
            <w:tcW w:w="2835" w:type="dxa"/>
          </w:tcPr>
          <w:p w:rsidR="00EB028C" w:rsidRDefault="00EB028C" w:rsidP="006B7E54">
            <w:pPr>
              <w:spacing w:line="232" w:lineRule="auto"/>
              <w:ind w:left="113" w:right="113"/>
              <w:rPr>
                <w:rFonts w:ascii="Arial" w:eastAsia="Arial" w:hAnsi="Arial"/>
                <w:b/>
                <w:sz w:val="22"/>
              </w:rPr>
            </w:pPr>
            <w:r>
              <w:rPr>
                <w:rFonts w:ascii="Arial" w:eastAsia="Arial" w:hAnsi="Arial"/>
                <w:b/>
                <w:sz w:val="16"/>
              </w:rPr>
              <w:t>Soggetto gestore del bando</w:t>
            </w:r>
          </w:p>
        </w:tc>
        <w:tc>
          <w:tcPr>
            <w:tcW w:w="6237" w:type="dxa"/>
          </w:tcPr>
          <w:p w:rsidR="00EB028C" w:rsidRDefault="00331F00" w:rsidP="00221774">
            <w:pPr>
              <w:spacing w:line="232" w:lineRule="auto"/>
              <w:ind w:left="113" w:right="113"/>
              <w:rPr>
                <w:rFonts w:ascii="Arial" w:eastAsia="Arial" w:hAnsi="Arial"/>
                <w:b/>
                <w:sz w:val="22"/>
              </w:rPr>
            </w:pPr>
            <w:r w:rsidRPr="00331F00">
              <w:rPr>
                <w:rFonts w:ascii="Arial" w:hAnsi="Arial"/>
                <w:color w:val="000000"/>
                <w:sz w:val="16"/>
                <w:szCs w:val="16"/>
              </w:rPr>
              <w:t>Regione Umbr</w:t>
            </w:r>
            <w:r w:rsidR="00221774">
              <w:rPr>
                <w:rFonts w:ascii="Arial" w:hAnsi="Arial"/>
                <w:color w:val="000000"/>
                <w:sz w:val="16"/>
                <w:szCs w:val="16"/>
              </w:rPr>
              <w:t xml:space="preserve">ia: </w:t>
            </w:r>
            <w:r w:rsidR="0058662F">
              <w:rPr>
                <w:rFonts w:ascii="Arial" w:hAnsi="Arial"/>
                <w:color w:val="000000"/>
                <w:sz w:val="16"/>
                <w:szCs w:val="16"/>
              </w:rPr>
              <w:t xml:space="preserve">Dirigente </w:t>
            </w:r>
            <w:r w:rsidR="0035066D">
              <w:rPr>
                <w:rFonts w:ascii="Arial" w:hAnsi="Arial"/>
                <w:color w:val="000000"/>
                <w:sz w:val="16"/>
                <w:szCs w:val="16"/>
              </w:rPr>
              <w:t xml:space="preserve">pro-tempore </w:t>
            </w:r>
            <w:bookmarkStart w:id="0" w:name="_GoBack"/>
            <w:bookmarkEnd w:id="0"/>
            <w:r w:rsidR="0058662F">
              <w:rPr>
                <w:rFonts w:ascii="Arial" w:hAnsi="Arial"/>
                <w:color w:val="000000"/>
                <w:sz w:val="16"/>
                <w:szCs w:val="16"/>
              </w:rPr>
              <w:t xml:space="preserve">del </w:t>
            </w:r>
            <w:r w:rsidR="00221774">
              <w:rPr>
                <w:rFonts w:ascii="Arial" w:hAnsi="Arial"/>
                <w:color w:val="000000"/>
                <w:sz w:val="16"/>
                <w:szCs w:val="16"/>
              </w:rPr>
              <w:t>Servizio Foreste, montagna,</w:t>
            </w:r>
            <w:r w:rsidRPr="00331F00">
              <w:rPr>
                <w:rFonts w:ascii="Arial" w:hAnsi="Arial"/>
                <w:color w:val="000000"/>
                <w:sz w:val="16"/>
                <w:szCs w:val="16"/>
              </w:rPr>
              <w:t xml:space="preserve"> sistemi naturalistici</w:t>
            </w:r>
            <w:r w:rsidR="00221774">
              <w:rPr>
                <w:rFonts w:ascii="Arial" w:hAnsi="Arial"/>
                <w:color w:val="000000"/>
                <w:sz w:val="16"/>
                <w:szCs w:val="16"/>
              </w:rPr>
              <w:t xml:space="preserve"> e F</w:t>
            </w:r>
            <w:r w:rsidR="00902D9C">
              <w:rPr>
                <w:rFonts w:ascii="Arial" w:hAnsi="Arial"/>
                <w:color w:val="000000"/>
                <w:sz w:val="16"/>
                <w:szCs w:val="16"/>
              </w:rPr>
              <w:t>aunistica</w:t>
            </w:r>
            <w:r w:rsidR="00221774">
              <w:rPr>
                <w:rFonts w:ascii="Arial" w:hAnsi="Arial"/>
                <w:color w:val="000000"/>
                <w:sz w:val="16"/>
                <w:szCs w:val="16"/>
              </w:rPr>
              <w:t>-venatoria</w:t>
            </w:r>
          </w:p>
        </w:tc>
      </w:tr>
    </w:tbl>
    <w:p w:rsidR="006B7E54" w:rsidRDefault="006B7E54"/>
    <w:sectPr w:rsidR="006B7E54" w:rsidSect="00002E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250CC4A"/>
    <w:multiLevelType w:val="hybridMultilevel"/>
    <w:tmpl w:val="A9C2795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26438A"/>
    <w:multiLevelType w:val="hybridMultilevel"/>
    <w:tmpl w:val="B1CC7598"/>
    <w:lvl w:ilvl="0" w:tplc="37D8DA6A">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B5E6525"/>
    <w:multiLevelType w:val="hybridMultilevel"/>
    <w:tmpl w:val="D36E650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54F"/>
    <w:rsid w:val="00002EDF"/>
    <w:rsid w:val="001812DC"/>
    <w:rsid w:val="00185C0D"/>
    <w:rsid w:val="001C046D"/>
    <w:rsid w:val="00221774"/>
    <w:rsid w:val="00245888"/>
    <w:rsid w:val="00331F00"/>
    <w:rsid w:val="0035066D"/>
    <w:rsid w:val="004E0FE5"/>
    <w:rsid w:val="005563BE"/>
    <w:rsid w:val="0057754F"/>
    <w:rsid w:val="0058662F"/>
    <w:rsid w:val="00623077"/>
    <w:rsid w:val="006B7E54"/>
    <w:rsid w:val="00705D5A"/>
    <w:rsid w:val="00711A39"/>
    <w:rsid w:val="007345FD"/>
    <w:rsid w:val="00770055"/>
    <w:rsid w:val="00787140"/>
    <w:rsid w:val="00865D8E"/>
    <w:rsid w:val="008864A2"/>
    <w:rsid w:val="008F2F38"/>
    <w:rsid w:val="00902D9C"/>
    <w:rsid w:val="009519B8"/>
    <w:rsid w:val="00980F87"/>
    <w:rsid w:val="00991E4C"/>
    <w:rsid w:val="00A339F9"/>
    <w:rsid w:val="00B64753"/>
    <w:rsid w:val="00BE32A2"/>
    <w:rsid w:val="00BF1082"/>
    <w:rsid w:val="00C27D39"/>
    <w:rsid w:val="00D24191"/>
    <w:rsid w:val="00D66EA9"/>
    <w:rsid w:val="00DE6472"/>
    <w:rsid w:val="00E22D2C"/>
    <w:rsid w:val="00EB028C"/>
    <w:rsid w:val="00F428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9E45AA-B972-4C71-8464-DB7434D0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028C"/>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autoRedefine/>
    <w:uiPriority w:val="9"/>
    <w:qFormat/>
    <w:rsid w:val="00EB028C"/>
    <w:pPr>
      <w:keepNext/>
      <w:spacing w:before="240" w:after="60"/>
      <w:outlineLvl w:val="0"/>
    </w:pPr>
    <w:rPr>
      <w:rFonts w:ascii="Arial" w:eastAsia="Times New Roman" w:hAnsi="Arial" w:cs="Times New Roman"/>
      <w:b/>
      <w:bCs/>
      <w:kern w:val="32"/>
      <w:sz w:val="2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B028C"/>
    <w:rPr>
      <w:rFonts w:ascii="Arial" w:eastAsia="Times New Roman" w:hAnsi="Arial" w:cs="Times New Roman"/>
      <w:b/>
      <w:bCs/>
      <w:kern w:val="32"/>
      <w:szCs w:val="32"/>
      <w:lang w:eastAsia="it-IT"/>
    </w:rPr>
  </w:style>
  <w:style w:type="table" w:styleId="Grigliatabella">
    <w:name w:val="Table Grid"/>
    <w:basedOn w:val="Tabellanormale"/>
    <w:uiPriority w:val="59"/>
    <w:rsid w:val="00EB028C"/>
    <w:pPr>
      <w:spacing w:after="0" w:line="240" w:lineRule="auto"/>
    </w:pPr>
    <w:rPr>
      <w:rFonts w:ascii="Calibri" w:eastAsia="Calibri" w:hAnsi="Calibri" w:cs="Arial"/>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efault">
    <w:name w:val="Default"/>
    <w:rsid w:val="007345FD"/>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865D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2</Pages>
  <Words>654</Words>
  <Characters>3734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Moretti</dc:creator>
  <cp:keywords/>
  <dc:description/>
  <cp:lastModifiedBy>Cecilia Moretti</cp:lastModifiedBy>
  <cp:revision>17</cp:revision>
  <dcterms:created xsi:type="dcterms:W3CDTF">2019-08-02T08:33:00Z</dcterms:created>
  <dcterms:modified xsi:type="dcterms:W3CDTF">2020-11-05T07:49:00Z</dcterms:modified>
</cp:coreProperties>
</file>